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23E5" w:rsidRDefault="00D24B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 Á L Y Á Z A T</w:t>
      </w: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95045C" w:rsidRDefault="00A1570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„</w:t>
      </w:r>
      <w:bookmarkStart w:id="0" w:name="_Hlk503445356"/>
      <w:r w:rsidR="00F942A0" w:rsidRPr="007D182E">
        <w:rPr>
          <w:rFonts w:ascii="Times New Roman" w:eastAsia="Times New Roman" w:hAnsi="Times New Roman" w:cs="Times New Roman"/>
          <w:sz w:val="48"/>
          <w:szCs w:val="48"/>
        </w:rPr>
        <w:t>Tatabányai Szakképzési Centrum</w:t>
      </w:r>
    </w:p>
    <w:p w:rsidR="00661E4A" w:rsidRPr="00661E4A" w:rsidRDefault="00C1411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Bláthy Ottó Szakgimnáziuma, Szakközépiskolája és Kollégiuma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 xml:space="preserve"> tagintézménye – </w:t>
      </w:r>
      <w:bookmarkStart w:id="1" w:name="_Hlk503779694"/>
      <w:bookmarkEnd w:id="0"/>
      <w:r w:rsidR="00BC3712">
        <w:rPr>
          <w:rFonts w:ascii="Times New Roman" w:eastAsia="Times New Roman" w:hAnsi="Times New Roman" w:cs="Times New Roman"/>
          <w:sz w:val="48"/>
          <w:szCs w:val="48"/>
        </w:rPr>
        <w:t xml:space="preserve">Hűtő- és légtechnikai műhely </w:t>
      </w:r>
      <w:proofErr w:type="gramStart"/>
      <w:r w:rsidR="00BC3712">
        <w:rPr>
          <w:rFonts w:ascii="Times New Roman" w:eastAsia="Times New Roman" w:hAnsi="Times New Roman" w:cs="Times New Roman"/>
          <w:sz w:val="48"/>
          <w:szCs w:val="48"/>
        </w:rPr>
        <w:t>eszközbeszerzése</w:t>
      </w:r>
      <w:r w:rsidR="00B51B91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bookmarkEnd w:id="1"/>
      <w:r w:rsidR="003A7D93">
        <w:rPr>
          <w:rFonts w:ascii="Times New Roman" w:eastAsia="Times New Roman" w:hAnsi="Times New Roman" w:cs="Times New Roman"/>
          <w:sz w:val="48"/>
          <w:szCs w:val="48"/>
        </w:rPr>
        <w:t>”</w:t>
      </w:r>
      <w:proofErr w:type="gramEnd"/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1570E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5962BB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F5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981659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tárgyban. </w:t>
      </w:r>
    </w:p>
    <w:p w:rsidR="009D45F8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beszerzés célja a T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SZC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számára a színvonalas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45F8">
        <w:rPr>
          <w:rFonts w:ascii="Times New Roman" w:eastAsia="Times New Roman" w:hAnsi="Times New Roman" w:cs="Times New Roman"/>
          <w:sz w:val="24"/>
          <w:szCs w:val="24"/>
        </w:rPr>
        <w:t>felnőtt oktatás</w:t>
      </w:r>
      <w:proofErr w:type="gramEnd"/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biztosítása a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szükséges eszközök beszerzésével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3FA1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>eszköz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ök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megnevezése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D45F8" w:rsidRDefault="00E50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F4E">
        <w:rPr>
          <w:rFonts w:ascii="Times New Roman" w:eastAsia="Times New Roman" w:hAnsi="Times New Roman" w:cs="Times New Roman"/>
          <w:sz w:val="24"/>
          <w:szCs w:val="24"/>
        </w:rPr>
        <w:t>Kereskedelmi klímaberendezés</w:t>
      </w:r>
      <w:r w:rsidR="00C33D3B">
        <w:rPr>
          <w:rFonts w:ascii="Times New Roman" w:eastAsia="Times New Roman" w:hAnsi="Times New Roman" w:cs="Times New Roman"/>
          <w:sz w:val="24"/>
          <w:szCs w:val="24"/>
        </w:rPr>
        <w:t xml:space="preserve"> (oktatás céljábó)</w:t>
      </w:r>
      <w:bookmarkStart w:id="2" w:name="_GoBack"/>
      <w:bookmarkEnd w:id="2"/>
      <w:r w:rsidRP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db</w:t>
      </w:r>
    </w:p>
    <w:p w:rsidR="00B1174B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a beszerzésre kerülő eszközök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információt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Dokumentáció egyrészt részletezi a jelen pályázati eljárás során követendő szabályokat, másrészt meghatározott sorrendben tartalmazza a kötelezően kitöltendő, becsatolandó dokumentumokat (iratmintákat), harmadrészt minden információt megad a pályázat érdemi részének elkészítéséhez (műszaki leírások, mennyiségek, minőségi követelmények, betartandó előírások.)</w:t>
      </w:r>
    </w:p>
    <w:p w:rsidR="009C4020" w:rsidRDefault="0029794D" w:rsidP="00E00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rögzíti, hogy a pályázati eljárás forrása a </w:t>
      </w:r>
      <w:r w:rsidR="00C401BF">
        <w:rPr>
          <w:rFonts w:ascii="Times New Roman" w:eastAsia="Times New Roman" w:hAnsi="Times New Roman" w:cs="Times New Roman"/>
          <w:sz w:val="24"/>
          <w:szCs w:val="24"/>
        </w:rPr>
        <w:t>Tatabányai Szakképzési Centrum fenntartója a Nemzetgazdasági Minisztérium finanszírozása</w:t>
      </w:r>
      <w:r>
        <w:rPr>
          <w:rFonts w:ascii="Times New Roman" w:eastAsia="Times New Roman" w:hAnsi="Times New Roman" w:cs="Times New Roman"/>
          <w:sz w:val="24"/>
          <w:szCs w:val="24"/>
        </w:rPr>
        <w:t>, melynek felhasználása kizárólag a fenti célra fordítható.</w:t>
      </w:r>
      <w:r w:rsidR="009C402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020" w:rsidRDefault="009C40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Default="009D45F8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2251E2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6E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9D45F8" w:rsidRDefault="0093549A" w:rsidP="009D45F8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</w:p>
    <w:p w:rsidR="006723E5" w:rsidRDefault="0093549A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0 Tata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4C4149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E2">
        <w:rPr>
          <w:rFonts w:ascii="Times New Roman" w:eastAsia="Times New Roman" w:hAnsi="Times New Roman" w:cs="Times New Roman"/>
          <w:sz w:val="24"/>
          <w:szCs w:val="24"/>
        </w:rPr>
        <w:t>– 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dószám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OM azonosító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203064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t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06-34-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586-563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titkarsag@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blathy-tata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.hu</w:t>
      </w:r>
    </w:p>
    <w:p w:rsidR="004C4149" w:rsidRDefault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2./ A pályázat tárgya:</w:t>
      </w:r>
    </w:p>
    <w:p w:rsidR="00582627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2.1./ A pályázat tárgya: Tatabányai Szakképzési Centrum (székhely: 2800 Tatabánya, Fő tér 4.) mint önálló jogi személyiséggel rendelkező, önállóan működő és gazdálkodó központi költségvetési szerv 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központjában</w:t>
      </w:r>
      <w:r w:rsidR="00D7432D">
        <w:rPr>
          <w:rFonts w:ascii="Times New Roman" w:eastAsia="Times New Roman" w:hAnsi="Times New Roman" w:cs="Times New Roman"/>
          <w:sz w:val="24"/>
          <w:szCs w:val="24"/>
        </w:rPr>
        <w:t xml:space="preserve"> megvalósuló alábbi beszerzés</w:t>
      </w:r>
      <w:r w:rsidR="005826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F6E" w:rsidRDefault="004C4149" w:rsidP="004C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>„Tatabányai Szakképzési Centrum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b/>
          <w:sz w:val="24"/>
          <w:szCs w:val="24"/>
        </w:rPr>
        <w:t>Hűtő- és légtechnikai műhely eszközbeszerzése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E4">
        <w:rPr>
          <w:rFonts w:ascii="Times New Roman" w:eastAsia="Times New Roman" w:hAnsi="Times New Roman" w:cs="Times New Roman"/>
          <w:sz w:val="24"/>
          <w:szCs w:val="24"/>
        </w:rPr>
        <w:t>3.1./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pályázat mennyiségi adat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</w:t>
      </w:r>
      <w:r w:rsidR="00D0787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tehető. Az Ajánlattevő (pályázó) felelőssége,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komplex elvégzését - az ajánl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>
        <w:rPr>
          <w:rFonts w:ascii="Times New Roman" w:eastAsia="Times New Roman" w:hAnsi="Times New Roman" w:cs="Times New Roman"/>
          <w:sz w:val="24"/>
          <w:szCs w:val="24"/>
        </w:rPr>
        <w:t>a 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>
        <w:rPr>
          <w:rFonts w:ascii="Times New Roman" w:eastAsia="Times New Roman" w:hAnsi="Times New Roman" w:cs="Times New Roman"/>
          <w:sz w:val="24"/>
          <w:szCs w:val="24"/>
        </w:rPr>
        <w:t>irányadó hatályos (központi) jogszabályoknak, előírásoknak, az európai szabványokat közzétevő hatályos magyar szabványrendnek, ezek hiányában a nemzeti, nemzetközi szab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funkcionális követelményeknek.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r w:rsidR="00EA1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FBF">
        <w:rPr>
          <w:rFonts w:ascii="Times New Roman" w:eastAsia="Times New Roman" w:hAnsi="Times New Roman" w:cs="Times New Roman"/>
          <w:sz w:val="24"/>
          <w:szCs w:val="24"/>
        </w:rPr>
        <w:t>szállítási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4B453B">
        <w:rPr>
          <w:rFonts w:ascii="Times New Roman" w:eastAsia="Times New Roman" w:hAnsi="Times New Roman" w:cs="Times New Roman"/>
          <w:sz w:val="24"/>
          <w:szCs w:val="24"/>
        </w:rPr>
        <w:t>)típus meghatározása:</w:t>
      </w:r>
    </w:p>
    <w:p w:rsidR="00D03F6E" w:rsidRDefault="005F0FBF" w:rsidP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7./ A teljesítés (s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6723E5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>
        <w:rPr>
          <w:rFonts w:ascii="Times New Roman" w:eastAsia="Times New Roman" w:hAnsi="Times New Roman" w:cs="Times New Roman"/>
          <w:sz w:val="24"/>
          <w:szCs w:val="24"/>
        </w:rPr>
        <w:t xml:space="preserve">./ A </w:t>
      </w:r>
      <w:r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686BD8">
        <w:rPr>
          <w:rFonts w:ascii="Times New Roman" w:eastAsia="Times New Roman" w:hAnsi="Times New Roman" w:cs="Times New Roman"/>
          <w:sz w:val="24"/>
          <w:szCs w:val="24"/>
        </w:rPr>
        <w:t xml:space="preserve"> tervezett időtartama: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január 29</w:t>
      </w:r>
      <w:r w:rsidR="00524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6723E5" w:rsidRDefault="005962BB" w:rsidP="008A73FB">
      <w:pPr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Bláthy Ottó Szakgimnáziuma, Szakközépiskolája és 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Kollégiuma tagintézménye</w:t>
      </w:r>
    </w:p>
    <w:p w:rsidR="008A73FB" w:rsidRDefault="00AC390C" w:rsidP="008A73FB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Pontos c</w:t>
      </w:r>
      <w:r w:rsidR="00396614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>/hrsz.</w:t>
      </w:r>
      <w:r w:rsidR="00396614" w:rsidRPr="00396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00 Tata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Nemzetgazdasági Minisztérium által elfogadott és a Tatabányai Szakképzési Centrum 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>által megalkotott 201</w:t>
      </w:r>
      <w:r w:rsidR="00627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E2142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vő részére 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előleget fizet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A47DAD"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84237A">
        <w:rPr>
          <w:rFonts w:ascii="Times New Roman" w:eastAsia="Times New Roman" w:hAnsi="Times New Roman" w:cs="Times New Roman"/>
          <w:sz w:val="24"/>
          <w:szCs w:val="24"/>
        </w:rPr>
        <w:t>1./ Nettó vállalkozói díj (Ft) - Pontszám: 7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Default="00842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10.2.2./ Garancia</w:t>
      </w:r>
      <w:r w:rsidR="00617A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jótállás (nap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3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Pontszám: </w:t>
      </w:r>
      <w:r w:rsidR="000B509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099" w:rsidRDefault="000B5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10.2.3./ Szállítási határidő (nap) – Pontszám: 10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műszaki, illetve szakmai alkalmassága körében,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Alkalmatlan az ajánlattevő, ha nem rendelkezik az ajánlattételi felhívás megküldését megelőző 3 évben szerződésszerűen teljesített, legalább 2 db referenciával a pályázat tárgyában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pénzügyi alkalmassága körében,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0C48BA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A">
        <w:rPr>
          <w:rFonts w:ascii="Times New Roman" w:eastAsia="Times New Roman" w:hAnsi="Times New Roman" w:cs="Times New Roman"/>
          <w:sz w:val="24"/>
          <w:szCs w:val="24"/>
        </w:rPr>
        <w:t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árbevételéről. Kérjük csatolni a továbbá a cég hatályos cégkivonatát, és az üzleti beszámolójának ide vonatkozó kivonatát.</w:t>
      </w:r>
    </w:p>
    <w:p w:rsidR="000C48BA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3 üzleti évben 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>a nettó vállalási ár nagyságrendjét meg nem haladó</w:t>
      </w:r>
      <w:r w:rsidR="00BF7A64" w:rsidRPr="000C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- általános forgalmi adó nélkül </w:t>
      </w:r>
      <w:r>
        <w:rPr>
          <w:rFonts w:ascii="Times New Roman" w:eastAsia="Times New Roman" w:hAnsi="Times New Roman" w:cs="Times New Roman"/>
          <w:sz w:val="24"/>
          <w:szCs w:val="24"/>
        </w:rPr>
        <w:t>számított –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FC1FCD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D03F6E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D03F6E" w:rsidRDefault="00D03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ljes nettó ajánlati ár 20 %-a.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>
        <w:rPr>
          <w:rFonts w:ascii="Times New Roman" w:eastAsia="Times New Roman" w:hAnsi="Times New Roman" w:cs="Times New Roman"/>
          <w:sz w:val="24"/>
          <w:szCs w:val="24"/>
        </w:rPr>
        <w:t xml:space="preserve"> (vállalási ár, garancia)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8A73FB" w:rsidRDefault="00DB78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január 1</w:t>
      </w:r>
      <w:r w:rsidR="00E50F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50F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15A90" w:rsidRPr="008A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03F6E" w:rsidRPr="008A73FB">
        <w:rPr>
          <w:rFonts w:ascii="Times New Roman" w:eastAsia="Times New Roman" w:hAnsi="Times New Roman" w:cs="Times New Roman"/>
          <w:b/>
          <w:sz w:val="24"/>
          <w:szCs w:val="24"/>
        </w:rPr>
        <w:t>00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Ajánlattevő a pályázatát olyképp nyújthatja be, hogy a pályázat a jelen Pályázati felhívásban megjelölt határideig a Tatabányai Szakképzési Centrum</w:t>
      </w:r>
      <w:r w:rsidR="00D6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benyújtásra kerüljön.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723E5" w:rsidRPr="008A73FB" w:rsidRDefault="005962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D66AAC" w:rsidRPr="008A73FB" w:rsidRDefault="00D66A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Pontos cím: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2800 Tatabánya, Fő tér 4.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től </w:t>
      </w:r>
      <w:r>
        <w:rPr>
          <w:rFonts w:ascii="Times New Roman" w:eastAsia="Times New Roman" w:hAnsi="Times New Roman" w:cs="Times New Roman"/>
          <w:sz w:val="24"/>
          <w:szCs w:val="24"/>
        </w:rPr>
        <w:t>csütörtökig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08:00-16:00-ig,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valamint pénteken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08:00-14:00 órá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ig, illetve postai úton.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16./ A pályázatok benyújtásának, felbontásának szabályai, ideje, helye:  </w:t>
      </w:r>
    </w:p>
    <w:p w:rsidR="006723E5" w:rsidRDefault="005962BB" w:rsidP="008A7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16.1./ A pályázatot cégszerűen aláírva, 2 példányban (egy eredeti és egy, az eredetivel mindenben azonos tartalmú másolati példányban) roncsolás mentesen, nem bontható kötésben, folyamatos oldalszámozással és tartalomjegyzékkel ellátva, zárt csomagolásban, a „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F7357E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7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felirat csomagoláson való feltüntetésével kell benyújtani.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E50F4E" w:rsidRPr="00E50F4E">
        <w:rPr>
          <w:rFonts w:ascii="Times New Roman" w:eastAsia="Times New Roman" w:hAnsi="Times New Roman" w:cs="Times New Roman"/>
          <w:sz w:val="24"/>
          <w:szCs w:val="24"/>
        </w:rPr>
        <w:t>2018. január 19. 13:00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felbontásának helye: Tatabányai Szakképzési Centrum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 központja, 2800 Tatabánya, Fő tér 4. (Megyeháza), I. emelet 130. szoba.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16.8./ A pályázat benyújtása és felbontása határidejének (pályázati határidő) betartását az Ajánlatkérő saját, központi időmérőjével ellenőrzi és bizonyítja. Az adott, pályázati határidő elmúlását követően beérkező pályázatokat az Ajánlatkérő elkésettnek minősíti,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ő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271A7A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>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>rvezett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ajánlat(ok) elbírálás(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Egyéb információk: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dokumentumokat,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.2./ A pályázat benyújtásához szükséges Pályázati Dokumentáció a jelen Pályázati Felhíváshoz csatolva, díjmentesen kerül átadásra (postai úton megküldésre, e-mail-en, elektronikus úton megküldésre) valamennyi Pályázó részére.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kapcsolattartásra - a tárgyalás tartásának esetét kivéve - kizárólag írásban kerülhet sor. Az Ajánlatkérő visszautasít minden személyes vagy nem dokumentálható kapcsolattartási formát.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dokumentumot készít, - amelyet minden Pályázónak azonos módon és időben, az esemény bekövetkezését követő 2 napon belül küld meg.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írásban (e-mail)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6723E5" w:rsidRDefault="001469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Sipos-Goór Georgina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06(34)517-186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46942" w:rsidRPr="00291F57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georgina.sipos-goor@tszc.hu</w:t>
        </w:r>
      </w:hyperlink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.8./ A pályázati eljárással kapcsolatban, az Ajánlatkérő részéről döntéshozó képviselő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(főigazgatói egyetértéssel)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3147" w:rsidRDefault="00F61CB6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FE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47" w:rsidRPr="002356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56FE">
        <w:rPr>
          <w:rFonts w:ascii="Times New Roman" w:eastAsia="Times New Roman" w:hAnsi="Times New Roman" w:cs="Times New Roman"/>
          <w:sz w:val="24"/>
          <w:szCs w:val="24"/>
        </w:rPr>
        <w:t>TSZC</w:t>
      </w:r>
      <w:r w:rsidR="002356FE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FE" w:rsidRPr="002356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>- igazgató</w:t>
      </w:r>
    </w:p>
    <w:p w:rsidR="00DF3147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70/400-69-18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tárgybeli szolgáltatásokat a jelen Pályázati Felhívás 2. pontjában megjelölt teljesítési helyen kell elvégeznie. A 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>
        <w:rPr>
          <w:rFonts w:ascii="Times New Roman" w:eastAsia="Times New Roman" w:hAnsi="Times New Roman" w:cs="Times New Roman"/>
          <w:sz w:val="24"/>
          <w:szCs w:val="24"/>
        </w:rPr>
        <w:t xml:space="preserve"> vezetését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 xml:space="preserve"> és az üzembe helyezéséhez kapcsolódó oktatást.</w:t>
      </w:r>
    </w:p>
    <w:p w:rsidR="002F1A7B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20.14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>
        <w:rPr>
          <w:rFonts w:ascii="Times New Roman" w:eastAsia="Times New Roman" w:hAnsi="Times New Roman" w:cs="Times New Roman"/>
          <w:sz w:val="24"/>
          <w:szCs w:val="24"/>
        </w:rPr>
        <w:t>Ptk</w:t>
      </w:r>
      <w:proofErr w:type="spellEnd"/>
      <w:r w:rsidR="008D4372">
        <w:rPr>
          <w:rFonts w:ascii="Times New Roman" w:eastAsia="Times New Roman" w:hAnsi="Times New Roman" w:cs="Times New Roman"/>
          <w:sz w:val="24"/>
          <w:szCs w:val="24"/>
        </w:rPr>
        <w:t>-ban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meghatározott adatszolgáltatási és tájékoztatási kötelezettség alá esik.</w:t>
      </w:r>
    </w:p>
    <w:p w:rsidR="008D4372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>./ Ajánlatkérő az ajánlattevők részére - az Ajánlatkérő érdekében a pályázati eljárásban - adott tájékoztatást, adatot, információt üzleti titoknak minősít.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Tatabánya, 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2018. 01. 1</w:t>
      </w:r>
      <w:r w:rsidR="006D27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35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723E5" w:rsidRDefault="00466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197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146942" w:rsidRDefault="00146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C57C01" w:rsidRPr="00C57C01" w:rsidRDefault="00C57C01" w:rsidP="00C57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>Tatabányai Szakképzési Centrum</w:t>
            </w:r>
          </w:p>
          <w:p w:rsidR="006723E5" w:rsidRDefault="00C57C01" w:rsidP="00C57C0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Bláthy Ottó Szakgimnáziuma, Szakközépiskolája és Kollégiuma tagintézménye – </w:t>
            </w:r>
            <w:r w:rsidR="00B51B91" w:rsidRPr="00B51B91">
              <w:rPr>
                <w:rFonts w:ascii="Times New Roman" w:eastAsia="Times New Roman" w:hAnsi="Times New Roman" w:cs="Times New Roman"/>
                <w:sz w:val="24"/>
                <w:szCs w:val="24"/>
              </w:rPr>
              <w:t>Hűtő- és légtechnikai műhely eszközbeszerzése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723E5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AF29D7" w:rsidRPr="00AF2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Ft/hó):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</w:t>
      </w:r>
      <w:r w:rsidR="002911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2356FE" w:rsidRDefault="00235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 határidő: ……………………………………nap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Dátum: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2F1A7B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F1A7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0321F0" w:rsidRPr="0003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 w:rsidP="00C57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B51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BB6296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BB6296" w:rsidRPr="00BB62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 w:rsidP="00382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külön vagy együttesen meghaladja a 25%-ot. 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BB6296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B51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B51B91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B51B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92077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603527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527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127EFA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27E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műhely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F36394">
        <w:tc>
          <w:tcPr>
            <w:tcW w:w="372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F36394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6394">
              <w:rPr>
                <w:rFonts w:ascii="Times New Roman" w:eastAsia="Times New Roman" w:hAnsi="Times New Roman" w:cs="Times New Roman"/>
                <w:sz w:val="28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égszerű aláírás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0j0zll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1fob9te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6" w:name="3znysh7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7" w:name="2et92p0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7B5166" w:rsidRDefault="00624033" w:rsidP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A860C2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Társaságunk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>eljárásban szereplő szerződés-tervezetet elfogadjuk és nyertességünk esetén – szerződésszerűen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égszerű aláírás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gy jogosan annak tekint/</w:t>
      </w:r>
      <w:proofErr w:type="spellStart"/>
      <w:r w:rsidR="007A71B8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Tr="007A71B8">
        <w:trPr>
          <w:jc w:val="center"/>
        </w:trPr>
        <w:tc>
          <w:tcPr>
            <w:tcW w:w="1696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r w:rsidRPr="007A71B8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7A71B8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7A71B8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8" w:name="_tyjcwt" w:colFirst="0" w:colLast="0"/>
      <w:bookmarkEnd w:id="8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E50F4E" w:rsidRPr="00B51B91">
        <w:rPr>
          <w:rFonts w:ascii="Times New Roman" w:eastAsia="Times New Roman" w:hAnsi="Times New Roman" w:cs="Times New Roman"/>
          <w:sz w:val="24"/>
          <w:szCs w:val="24"/>
        </w:rPr>
        <w:t>Hűtő- és légtechnikai műhely eszközbeszerzése</w:t>
      </w:r>
      <w:r w:rsidR="00E50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árbevételünk az alábbi összeg volt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ATABÁNYAI SZAKKÉPZÉSI CENTRUM 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ÁLTAL MEGHATÁROZOTT MŰSZAKI PARAMÉTEREK </w:t>
      </w: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73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</w:tblGrid>
      <w:tr w:rsidR="000F0BD7" w:rsidTr="000F0BD7">
        <w:trPr>
          <w:trHeight w:val="476"/>
          <w:jc w:val="center"/>
        </w:trPr>
        <w:tc>
          <w:tcPr>
            <w:tcW w:w="709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</w:tr>
      <w:tr w:rsidR="000F0BD7" w:rsidTr="00995EEB">
        <w:trPr>
          <w:trHeight w:val="2089"/>
          <w:jc w:val="center"/>
        </w:trPr>
        <w:tc>
          <w:tcPr>
            <w:tcW w:w="709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0F0BD7" w:rsidRDefault="000F0BD7" w:rsidP="00AF29D7">
            <w:pPr>
              <w:rPr>
                <w:rFonts w:cstheme="minorHAnsi"/>
                <w:b/>
              </w:rPr>
            </w:pPr>
          </w:p>
          <w:p w:rsidR="00E50F4E" w:rsidRDefault="00E50F4E" w:rsidP="00E50F4E">
            <w:bookmarkStart w:id="9" w:name="_Hlk503782509"/>
            <w:r w:rsidRPr="00A15FFF">
              <w:t>Kereskedelmi klímaberendezés</w:t>
            </w:r>
            <w:bookmarkEnd w:id="9"/>
            <w:r w:rsidR="00C33D3B">
              <w:t xml:space="preserve"> (oktatás céljából)</w:t>
            </w:r>
            <w:r>
              <w:t>:</w:t>
            </w:r>
          </w:p>
          <w:p w:rsidR="00E50F4E" w:rsidRDefault="00E50F4E" w:rsidP="00E50F4E">
            <w:pPr>
              <w:pStyle w:val="Listaszerbekezds"/>
              <w:numPr>
                <w:ilvl w:val="0"/>
                <w:numId w:val="16"/>
              </w:numPr>
            </w:pPr>
            <w:r>
              <w:t>álmennyezeti beltéri</w:t>
            </w:r>
          </w:p>
          <w:p w:rsidR="00E50F4E" w:rsidRDefault="00E50F4E" w:rsidP="00E50F4E">
            <w:pPr>
              <w:pStyle w:val="Listaszerbekezds"/>
              <w:numPr>
                <w:ilvl w:val="0"/>
                <w:numId w:val="16"/>
              </w:numPr>
            </w:pPr>
            <w:r>
              <w:t>digitális vezérlés</w:t>
            </w:r>
          </w:p>
          <w:p w:rsidR="00E50F4E" w:rsidRDefault="00E50F4E" w:rsidP="00E50F4E">
            <w:pPr>
              <w:pStyle w:val="Listaszerbekezds"/>
              <w:numPr>
                <w:ilvl w:val="0"/>
                <w:numId w:val="16"/>
              </w:numPr>
            </w:pPr>
            <w:r>
              <w:t>nagyteljesítményű kombinált kültéri egység (teljesítmény felmérés alapján)</w:t>
            </w:r>
          </w:p>
          <w:p w:rsidR="000F0BD7" w:rsidRPr="00E95E46" w:rsidRDefault="000F0BD7" w:rsidP="0038217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E50F4E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:rsidR="00CE62C8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2137" w:rsidRP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Szerződés-tervezet</w:t>
      </w:r>
    </w:p>
    <w:p w:rsidR="00862137" w:rsidRPr="00862137" w:rsidRDefault="00862137" w:rsidP="00862137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amely létrejött egyrészről a: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proofErr w:type="spellStart"/>
      <w:r w:rsidRPr="00862137">
        <w:rPr>
          <w:rFonts w:ascii="Times New Roman" w:hAnsi="Times New Roman" w:cs="Times New Roman"/>
          <w:sz w:val="24"/>
          <w:szCs w:val="24"/>
        </w:rPr>
        <w:t>Berczellyné</w:t>
      </w:r>
      <w:proofErr w:type="spellEnd"/>
      <w:r w:rsidRPr="00862137">
        <w:rPr>
          <w:rFonts w:ascii="Times New Roman" w:hAnsi="Times New Roman" w:cs="Times New Roman"/>
          <w:sz w:val="24"/>
          <w:szCs w:val="24"/>
        </w:rPr>
        <w:t xml:space="preserve"> Nagy Marianna főigazgató</w:t>
      </w:r>
    </w:p>
    <w:p w:rsidR="00543CC9" w:rsidRPr="00543CC9" w:rsidRDefault="00543CC9" w:rsidP="00543CC9">
      <w:pPr>
        <w:spacing w:line="240" w:lineRule="atLeast"/>
        <w:ind w:left="4395" w:hanging="4395"/>
        <w:rPr>
          <w:rFonts w:ascii="Times New Roman" w:hAnsi="Times New Roman" w:cs="Times New Roman"/>
          <w:sz w:val="24"/>
          <w:szCs w:val="24"/>
          <w:lang w:val="da-DK"/>
        </w:rPr>
      </w:pPr>
      <w:r w:rsidRPr="00543CC9">
        <w:rPr>
          <w:rFonts w:ascii="Times New Roman" w:hAnsi="Times New Roman" w:cs="Times New Roman"/>
          <w:sz w:val="24"/>
          <w:szCs w:val="24"/>
          <w:lang w:val="da-DK"/>
        </w:rPr>
        <w:t>érintett köznevelési intézmény megnevezése: Bláthy Ottó Szakgimnáziuma, Szakközépiskolája és Kollégiuma</w:t>
      </w:r>
    </w:p>
    <w:p w:rsid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862137" w:rsidRP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 w:rsidRPr="00862137"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Megrendelő</w:t>
      </w:r>
      <w:r w:rsidRPr="008621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másrészről a:</w:t>
      </w:r>
    </w:p>
    <w:p w:rsidR="00862137" w:rsidRPr="00862137" w:rsidRDefault="00862137" w:rsidP="00862137">
      <w:pPr>
        <w:pStyle w:val="lfej"/>
        <w:shd w:val="clear" w:color="auto" w:fill="FFFFFF"/>
        <w:tabs>
          <w:tab w:val="clear" w:pos="4536"/>
          <w:tab w:val="clear" w:pos="9072"/>
        </w:tabs>
        <w:rPr>
          <w:i w:val="0"/>
          <w:szCs w:val="24"/>
        </w:rPr>
      </w:pPr>
      <w:r w:rsidRPr="00862137">
        <w:rPr>
          <w:i w:val="0"/>
          <w:iCs/>
          <w:szCs w:val="24"/>
        </w:rPr>
        <w:t>cégnév:</w:t>
      </w:r>
      <w:r w:rsidRPr="00862137">
        <w:rPr>
          <w:b/>
          <w:bCs/>
          <w:i w:val="0"/>
          <w:szCs w:val="24"/>
        </w:rPr>
        <w:t xml:space="preserve"> </w:t>
      </w:r>
    </w:p>
    <w:p w:rsidR="00862137" w:rsidRPr="00862137" w:rsidRDefault="00862137" w:rsidP="0086213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cégjegyzékszáma:</w:t>
      </w:r>
      <w:r w:rsidRPr="00862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Szállító</w:t>
      </w:r>
      <w:r w:rsidRPr="00862137"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433499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1./</w:t>
      </w:r>
      <w:r w:rsidRPr="00862137">
        <w:rPr>
          <w:rFonts w:ascii="Times New Roman" w:hAnsi="Times New Roman" w:cs="Times New Roman"/>
          <w:sz w:val="24"/>
          <w:szCs w:val="24"/>
        </w:rPr>
        <w:tab/>
        <w:t xml:space="preserve">Szerződő felek egymással szállítási szerződést kötnek, melynek tárgya a Szállító által forgalmazott </w:t>
      </w:r>
      <w:r>
        <w:rPr>
          <w:rFonts w:ascii="Times New Roman" w:hAnsi="Times New Roman" w:cs="Times New Roman"/>
          <w:sz w:val="24"/>
          <w:szCs w:val="24"/>
        </w:rPr>
        <w:t>alábbi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  <w:r w:rsidRPr="00862137">
        <w:rPr>
          <w:rFonts w:ascii="Times New Roman" w:hAnsi="Times New Roman" w:cs="Times New Roman"/>
          <w:b/>
          <w:sz w:val="24"/>
          <w:szCs w:val="24"/>
        </w:rPr>
        <w:t>eszközök</w:t>
      </w:r>
      <w:r w:rsidRPr="00862137"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p w:rsidR="00433499" w:rsidRDefault="0043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137" w:rsidRPr="00862137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  <w:gridCol w:w="1134"/>
        <w:gridCol w:w="708"/>
        <w:gridCol w:w="851"/>
        <w:gridCol w:w="850"/>
      </w:tblGrid>
      <w:tr w:rsidR="00433499" w:rsidTr="00433499">
        <w:trPr>
          <w:trHeight w:val="476"/>
        </w:trPr>
        <w:tc>
          <w:tcPr>
            <w:tcW w:w="709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</w:t>
            </w:r>
          </w:p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egységár</w:t>
            </w:r>
          </w:p>
        </w:tc>
        <w:tc>
          <w:tcPr>
            <w:tcW w:w="708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ÁFA</w:t>
            </w:r>
          </w:p>
        </w:tc>
        <w:tc>
          <w:tcPr>
            <w:tcW w:w="851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egységár</w:t>
            </w:r>
          </w:p>
        </w:tc>
        <w:tc>
          <w:tcPr>
            <w:tcW w:w="850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</w:t>
            </w:r>
          </w:p>
        </w:tc>
      </w:tr>
      <w:tr w:rsidR="00543CC9" w:rsidTr="00543CC9">
        <w:trPr>
          <w:trHeight w:val="2406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3CC9" w:rsidRDefault="00543CC9" w:rsidP="00543CC9">
            <w:pPr>
              <w:rPr>
                <w:rFonts w:cstheme="minorHAnsi"/>
                <w:b/>
              </w:rPr>
            </w:pPr>
          </w:p>
          <w:p w:rsidR="00995EEB" w:rsidRDefault="00995EEB" w:rsidP="00995EEB">
            <w:r w:rsidRPr="00A15FFF">
              <w:t>Kereskedelmi klímaberendezés</w:t>
            </w:r>
            <w:r w:rsidR="005E5A8A">
              <w:t xml:space="preserve"> (oktatás céljából)</w:t>
            </w:r>
            <w:r>
              <w:t>:</w:t>
            </w:r>
          </w:p>
          <w:p w:rsidR="00995EEB" w:rsidRDefault="00995EEB" w:rsidP="00995EEB">
            <w:pPr>
              <w:pStyle w:val="Listaszerbekezds"/>
              <w:numPr>
                <w:ilvl w:val="0"/>
                <w:numId w:val="16"/>
              </w:numPr>
            </w:pPr>
            <w:r>
              <w:t>álmennyezeti beltéri</w:t>
            </w:r>
          </w:p>
          <w:p w:rsidR="00995EEB" w:rsidRDefault="00995EEB" w:rsidP="00995EEB">
            <w:pPr>
              <w:pStyle w:val="Listaszerbekezds"/>
              <w:numPr>
                <w:ilvl w:val="0"/>
                <w:numId w:val="16"/>
              </w:numPr>
            </w:pPr>
            <w:r>
              <w:t>digitális vezérlés</w:t>
            </w:r>
          </w:p>
          <w:p w:rsidR="00543CC9" w:rsidRPr="00995EEB" w:rsidRDefault="00995EEB" w:rsidP="00543CC9">
            <w:pPr>
              <w:pStyle w:val="Listaszerbekezds"/>
              <w:numPr>
                <w:ilvl w:val="0"/>
                <w:numId w:val="16"/>
              </w:numPr>
            </w:pPr>
            <w:r>
              <w:t>nagyteljesítményű kombinált kültéri egység (teljesítmény felmérés alapján)</w:t>
            </w:r>
          </w:p>
        </w:tc>
        <w:tc>
          <w:tcPr>
            <w:tcW w:w="993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543CC9" w:rsidRPr="00E95E46" w:rsidRDefault="00995EEB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ÁFA: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543CC9" w:rsidTr="00433499">
        <w:trPr>
          <w:trHeight w:val="288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543CC9" w:rsidRPr="00E95E46" w:rsidRDefault="00543CC9" w:rsidP="00543CC9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összes:</w:t>
            </w: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</w:tbl>
    <w:p w:rsidR="00433499" w:rsidRDefault="00433499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2./</w:t>
      </w:r>
      <w:r w:rsidRPr="007F4309">
        <w:rPr>
          <w:rFonts w:ascii="Times New Roman" w:hAnsi="Times New Roman" w:cs="Times New Roman"/>
          <w:sz w:val="24"/>
          <w:szCs w:val="24"/>
        </w:rPr>
        <w:tab/>
        <w:t>A termék minőségi jellemzői, a Szállító terméklistáján 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Ettől való eltérés a törvényes kereteken belül a szerződő felek közös megegyezésével történik.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3./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alapján történik. Felek rögzítik, hogy a teljesítési (szállítási) határidő a mai naptól számított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>.  munkanap.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4./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 A felek rögzítik, hogy a Szállító által vállalt garancia, a nyertes pályázat alapján az üzembehelyezéstől/átadástól számított …………. 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5./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a termék átadás a Megrendelő telephelyén történik: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TSZC Bláthy Ottó Szakgimnáziuma, Szakközépiskolája és Kollégiuma</w:t>
      </w:r>
    </w:p>
    <w:p w:rsid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Tagintézmény pontos címe: </w:t>
      </w:r>
      <w:r>
        <w:rPr>
          <w:rFonts w:ascii="Times New Roman" w:hAnsi="Times New Roman" w:cs="Times New Roman"/>
          <w:sz w:val="24"/>
          <w:szCs w:val="24"/>
        </w:rPr>
        <w:t>2890 Tata, Hősök tere 9.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09">
        <w:rPr>
          <w:rFonts w:ascii="Times New Roman" w:hAnsi="Times New Roman" w:cs="Times New Roman"/>
          <w:sz w:val="24"/>
          <w:szCs w:val="24"/>
        </w:rPr>
        <w:t xml:space="preserve">megbízottja a Szállító által kibocsájtott számla aláírásával igazol. </w:t>
      </w:r>
    </w:p>
    <w:p w:rsidR="007F4309" w:rsidRPr="007F4309" w:rsidRDefault="007F4309" w:rsidP="007F4309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A Megrendelő felelős a telephelyen való kirakodásért, a kirakodáshoz szükséges megfelelő körülmények biztosításáért, valamint a Szállítónak kell biztosítani a megfelelő szállítási eszközt olyan állapotban, hogy lehetővé tegye a Megrendelő kirakodási kötelezettségeinek teljesítését.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6./</w:t>
      </w:r>
      <w:r w:rsidRPr="007F4309"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csomagolásban bocsátja a Megrendelő rendelkezésére. A termékek minőségének megóvása érdekében a termékek kezelése, tárolása, állag megőrzése és kiszállítása meg kell, hogy feleljen a hatályos előírásokat.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7./</w:t>
      </w:r>
      <w:r w:rsidRPr="007F4309"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maradéktalan és határidőben való teljesítésének esetére ……………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 Ft + ÁFA összegű  díjra jogosult.</w:t>
      </w:r>
    </w:p>
    <w:p w:rsidR="007F4309" w:rsidRPr="007F4309" w:rsidRDefault="007F4309" w:rsidP="007F430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8./</w:t>
      </w:r>
      <w:r w:rsidRPr="007F4309">
        <w:rPr>
          <w:rFonts w:ascii="Times New Roman" w:hAnsi="Times New Roman" w:cs="Times New Roman"/>
          <w:sz w:val="24"/>
          <w:szCs w:val="24"/>
        </w:rPr>
        <w:tab/>
        <w:t>Szállító a szállításról/teljesítésről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teljesítés ellenértéke a késedelembe esés napjától a mindenkori jegybanki alapkamatnak megfelelő mértékű késedelmi kamattal növekszik.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9./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Amennyiben a termékek átvétele során a termék mennyiségében, minőségében eltérés mutatkozik, arról a Megrendelő jegyzőkönyvet készít, melyet a Szállító és a Megrendelő képviselője aláírásával és pecsétjével hitelesít. A jegyzőkönyvet Megrendelő köteles a Szállítóhoz eljuttatni.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 Az átvételkor fel nem ismerhető mennyiségi és minőségi hibákat Megrendelő a tényeket bizonyító okmányokkal együtt a hiba felfedezését követően a szállítónál írásban köteles bejelenteni.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10./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írásban a másik félhez címezett, 30 napos felmondási idővel felmondani, Megrendelő azonban köteles a felmondás előtt már leadott megrendelés alapján leszállított terméket átvenni és vételárat megfizetni.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azonnali hatállyal felmondani a másik fél súlyosan szerződésszegő magatartása esetén, így különösen: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faxon vagy e-mailben közölt írásbeli felszólítása ellenére azonnal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szállítással késedelembe esik és a Megrendelő faxon vagy e-mailben közölt írásbeli felszólítása ellenére szállítási kötelezettségének azonnal nem tesz eleget.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major esetén egyik fél sem vonható felelősségre, így a felek ilyen esetben eltekintenek az egymással szembeni kárigénytől.</w:t>
      </w:r>
    </w:p>
    <w:p w:rsidR="007F4309" w:rsidRPr="007F4309" w:rsidRDefault="00E2142C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11./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12./</w:t>
      </w:r>
      <w:r w:rsidRPr="007F4309"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rendelkezései az irányadók.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862137" w:rsidRPr="0043349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4"/>
          <w:szCs w:val="4"/>
        </w:rPr>
      </w:pPr>
      <w:r w:rsidRPr="007F4309"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>.               hó        napján</w:t>
      </w:r>
      <w:r w:rsidRPr="00862137">
        <w:rPr>
          <w:rFonts w:ascii="Times New Roman" w:hAnsi="Times New Roman" w:cs="Times New Roman"/>
          <w:sz w:val="24"/>
          <w:szCs w:val="24"/>
        </w:rPr>
        <w:tab/>
      </w:r>
      <w:r w:rsidRPr="00862137">
        <w:rPr>
          <w:rFonts w:ascii="Times New Roman" w:hAnsi="Times New Roman" w:cs="Times New Roman"/>
          <w:sz w:val="24"/>
          <w:szCs w:val="24"/>
        </w:rPr>
        <w:tab/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 xml:space="preserve">. </w:t>
      </w:r>
      <w:r w:rsidR="00433499">
        <w:rPr>
          <w:rFonts w:ascii="Times New Roman" w:hAnsi="Times New Roman" w:cs="Times New Roman"/>
          <w:sz w:val="24"/>
          <w:szCs w:val="24"/>
        </w:rPr>
        <w:t xml:space="preserve">              hó        napján</w:t>
      </w:r>
    </w:p>
    <w:p w:rsidR="00423948" w:rsidRPr="00423948" w:rsidRDefault="00423948" w:rsidP="00862137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62137" w:rsidRPr="00862137" w:rsidTr="00433499"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B7" w:rsidRDefault="004407B7" w:rsidP="00423948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Berczellyné</w:t>
            </w:r>
            <w:proofErr w:type="spellEnd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Nagy Marianna főigazgató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  <w:tr w:rsidR="007E6858" w:rsidRPr="00862137" w:rsidTr="00433499"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37" w:rsidRPr="007E6858" w:rsidRDefault="00862137" w:rsidP="007E6858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862137" w:rsidRPr="007E685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12" w:rsidRDefault="00BC3712">
      <w:pPr>
        <w:spacing w:after="0" w:line="240" w:lineRule="auto"/>
      </w:pPr>
      <w:r>
        <w:separator/>
      </w:r>
    </w:p>
  </w:endnote>
  <w:endnote w:type="continuationSeparator" w:id="0">
    <w:p w:rsidR="00BC3712" w:rsidRDefault="00BC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12" w:rsidRDefault="00BC3712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33D3B">
      <w:rPr>
        <w:noProof/>
      </w:rPr>
      <w:t>21</w:t>
    </w:r>
    <w:r>
      <w:fldChar w:fldCharType="end"/>
    </w:r>
  </w:p>
  <w:p w:rsidR="00BC3712" w:rsidRDefault="00BC3712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12" w:rsidRDefault="00BC3712">
      <w:pPr>
        <w:spacing w:after="0" w:line="240" w:lineRule="auto"/>
      </w:pPr>
      <w:r>
        <w:separator/>
      </w:r>
    </w:p>
  </w:footnote>
  <w:footnote w:type="continuationSeparator" w:id="0">
    <w:p w:rsidR="00BC3712" w:rsidRDefault="00BC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712" w:rsidRDefault="00BC3712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9FA"/>
    <w:multiLevelType w:val="hybridMultilevel"/>
    <w:tmpl w:val="1862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66866"/>
    <w:multiLevelType w:val="hybridMultilevel"/>
    <w:tmpl w:val="7ACC5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1E0C"/>
    <w:multiLevelType w:val="hybridMultilevel"/>
    <w:tmpl w:val="A536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5"/>
    <w:rsid w:val="00007AC5"/>
    <w:rsid w:val="000321F0"/>
    <w:rsid w:val="00051597"/>
    <w:rsid w:val="00053A95"/>
    <w:rsid w:val="00057686"/>
    <w:rsid w:val="00060B05"/>
    <w:rsid w:val="0006739F"/>
    <w:rsid w:val="00075CBB"/>
    <w:rsid w:val="00083520"/>
    <w:rsid w:val="00084C8E"/>
    <w:rsid w:val="000A5175"/>
    <w:rsid w:val="000A7F4E"/>
    <w:rsid w:val="000B0F84"/>
    <w:rsid w:val="000B1964"/>
    <w:rsid w:val="000B5099"/>
    <w:rsid w:val="000B5FF0"/>
    <w:rsid w:val="000C01ED"/>
    <w:rsid w:val="000C48BA"/>
    <w:rsid w:val="000D0938"/>
    <w:rsid w:val="000F0BD7"/>
    <w:rsid w:val="000F0BEA"/>
    <w:rsid w:val="000F5B98"/>
    <w:rsid w:val="000F5FC2"/>
    <w:rsid w:val="001242B5"/>
    <w:rsid w:val="00127EFA"/>
    <w:rsid w:val="00127FAC"/>
    <w:rsid w:val="00130CD0"/>
    <w:rsid w:val="00131503"/>
    <w:rsid w:val="00132F94"/>
    <w:rsid w:val="00137061"/>
    <w:rsid w:val="00141A2F"/>
    <w:rsid w:val="00146942"/>
    <w:rsid w:val="001554E1"/>
    <w:rsid w:val="00164F8A"/>
    <w:rsid w:val="00167C8B"/>
    <w:rsid w:val="00184A3B"/>
    <w:rsid w:val="00187110"/>
    <w:rsid w:val="00190789"/>
    <w:rsid w:val="00192077"/>
    <w:rsid w:val="001B1B8B"/>
    <w:rsid w:val="001B4B89"/>
    <w:rsid w:val="001D279A"/>
    <w:rsid w:val="001D3351"/>
    <w:rsid w:val="001E0F86"/>
    <w:rsid w:val="001E3657"/>
    <w:rsid w:val="001E43AE"/>
    <w:rsid w:val="00205FF2"/>
    <w:rsid w:val="00211F34"/>
    <w:rsid w:val="00212BFB"/>
    <w:rsid w:val="00213322"/>
    <w:rsid w:val="00223E91"/>
    <w:rsid w:val="002251E2"/>
    <w:rsid w:val="00234035"/>
    <w:rsid w:val="002356FE"/>
    <w:rsid w:val="00245E5F"/>
    <w:rsid w:val="002526FC"/>
    <w:rsid w:val="00271A7A"/>
    <w:rsid w:val="00273160"/>
    <w:rsid w:val="002778F8"/>
    <w:rsid w:val="002863BE"/>
    <w:rsid w:val="00291150"/>
    <w:rsid w:val="0029794D"/>
    <w:rsid w:val="002B40C1"/>
    <w:rsid w:val="002B5AC7"/>
    <w:rsid w:val="002D11E8"/>
    <w:rsid w:val="002D56F1"/>
    <w:rsid w:val="002F1A7B"/>
    <w:rsid w:val="002F4057"/>
    <w:rsid w:val="00324663"/>
    <w:rsid w:val="00325193"/>
    <w:rsid w:val="003332C2"/>
    <w:rsid w:val="00344FFF"/>
    <w:rsid w:val="0035688E"/>
    <w:rsid w:val="003573EA"/>
    <w:rsid w:val="00357A2E"/>
    <w:rsid w:val="003600E4"/>
    <w:rsid w:val="00374DFE"/>
    <w:rsid w:val="00382172"/>
    <w:rsid w:val="00396614"/>
    <w:rsid w:val="003A7D93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31225"/>
    <w:rsid w:val="00433499"/>
    <w:rsid w:val="0043599B"/>
    <w:rsid w:val="004407B7"/>
    <w:rsid w:val="00446715"/>
    <w:rsid w:val="00447A79"/>
    <w:rsid w:val="00450EE6"/>
    <w:rsid w:val="004526F2"/>
    <w:rsid w:val="004538A5"/>
    <w:rsid w:val="00465930"/>
    <w:rsid w:val="00466297"/>
    <w:rsid w:val="004870C4"/>
    <w:rsid w:val="004911F0"/>
    <w:rsid w:val="004944F3"/>
    <w:rsid w:val="004B453B"/>
    <w:rsid w:val="004B53C2"/>
    <w:rsid w:val="004C4149"/>
    <w:rsid w:val="004C7755"/>
    <w:rsid w:val="004D10AC"/>
    <w:rsid w:val="004D7CB3"/>
    <w:rsid w:val="004F1705"/>
    <w:rsid w:val="0050386B"/>
    <w:rsid w:val="00511D1D"/>
    <w:rsid w:val="00524DEF"/>
    <w:rsid w:val="005425E8"/>
    <w:rsid w:val="00543CC9"/>
    <w:rsid w:val="0057270A"/>
    <w:rsid w:val="00573D3B"/>
    <w:rsid w:val="00582627"/>
    <w:rsid w:val="005961B6"/>
    <w:rsid w:val="005962BB"/>
    <w:rsid w:val="005974B4"/>
    <w:rsid w:val="005B111B"/>
    <w:rsid w:val="005B1A14"/>
    <w:rsid w:val="005B2CAA"/>
    <w:rsid w:val="005C4C33"/>
    <w:rsid w:val="005D25B1"/>
    <w:rsid w:val="005E5A8A"/>
    <w:rsid w:val="005F0FBF"/>
    <w:rsid w:val="00602F4C"/>
    <w:rsid w:val="00603527"/>
    <w:rsid w:val="00605ED0"/>
    <w:rsid w:val="00617AF2"/>
    <w:rsid w:val="00624033"/>
    <w:rsid w:val="00627B89"/>
    <w:rsid w:val="00635F81"/>
    <w:rsid w:val="00661E4A"/>
    <w:rsid w:val="006704E2"/>
    <w:rsid w:val="006723E5"/>
    <w:rsid w:val="006859F4"/>
    <w:rsid w:val="00686BD8"/>
    <w:rsid w:val="006A004B"/>
    <w:rsid w:val="006C02F4"/>
    <w:rsid w:val="006D2771"/>
    <w:rsid w:val="006E197A"/>
    <w:rsid w:val="006F165D"/>
    <w:rsid w:val="00703884"/>
    <w:rsid w:val="00707351"/>
    <w:rsid w:val="007073A3"/>
    <w:rsid w:val="00707AA6"/>
    <w:rsid w:val="00723846"/>
    <w:rsid w:val="007360E1"/>
    <w:rsid w:val="00742B91"/>
    <w:rsid w:val="00780251"/>
    <w:rsid w:val="0079739E"/>
    <w:rsid w:val="007A71B8"/>
    <w:rsid w:val="007B5166"/>
    <w:rsid w:val="007B64FF"/>
    <w:rsid w:val="007C22EF"/>
    <w:rsid w:val="007E6858"/>
    <w:rsid w:val="007F4309"/>
    <w:rsid w:val="007F5C1E"/>
    <w:rsid w:val="00820439"/>
    <w:rsid w:val="008342DA"/>
    <w:rsid w:val="0084237A"/>
    <w:rsid w:val="0085045C"/>
    <w:rsid w:val="008506D8"/>
    <w:rsid w:val="00862137"/>
    <w:rsid w:val="00872AA7"/>
    <w:rsid w:val="00872FC8"/>
    <w:rsid w:val="00874984"/>
    <w:rsid w:val="00891BDC"/>
    <w:rsid w:val="008A73FB"/>
    <w:rsid w:val="008C77BB"/>
    <w:rsid w:val="008D01C6"/>
    <w:rsid w:val="008D4372"/>
    <w:rsid w:val="008D5A98"/>
    <w:rsid w:val="008D7487"/>
    <w:rsid w:val="008E177B"/>
    <w:rsid w:val="008E3361"/>
    <w:rsid w:val="008F4145"/>
    <w:rsid w:val="00903888"/>
    <w:rsid w:val="00917E13"/>
    <w:rsid w:val="00925FF4"/>
    <w:rsid w:val="009277C7"/>
    <w:rsid w:val="0093549A"/>
    <w:rsid w:val="0095045C"/>
    <w:rsid w:val="0096607E"/>
    <w:rsid w:val="00981659"/>
    <w:rsid w:val="00995EEB"/>
    <w:rsid w:val="0099771B"/>
    <w:rsid w:val="009A4077"/>
    <w:rsid w:val="009C09EA"/>
    <w:rsid w:val="009C2877"/>
    <w:rsid w:val="009C4020"/>
    <w:rsid w:val="009D070F"/>
    <w:rsid w:val="009D45F8"/>
    <w:rsid w:val="009F2EA6"/>
    <w:rsid w:val="00A1570E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A0CE2"/>
    <w:rsid w:val="00AA781A"/>
    <w:rsid w:val="00AC1A0E"/>
    <w:rsid w:val="00AC390C"/>
    <w:rsid w:val="00AD035B"/>
    <w:rsid w:val="00AF29D7"/>
    <w:rsid w:val="00B015CF"/>
    <w:rsid w:val="00B0562E"/>
    <w:rsid w:val="00B1174B"/>
    <w:rsid w:val="00B276DD"/>
    <w:rsid w:val="00B51B91"/>
    <w:rsid w:val="00B52599"/>
    <w:rsid w:val="00B53430"/>
    <w:rsid w:val="00B6089B"/>
    <w:rsid w:val="00B6551D"/>
    <w:rsid w:val="00B72116"/>
    <w:rsid w:val="00B820D6"/>
    <w:rsid w:val="00B82EFD"/>
    <w:rsid w:val="00B875F8"/>
    <w:rsid w:val="00B9660D"/>
    <w:rsid w:val="00B97614"/>
    <w:rsid w:val="00BB6292"/>
    <w:rsid w:val="00BB6296"/>
    <w:rsid w:val="00BC3712"/>
    <w:rsid w:val="00BF4D22"/>
    <w:rsid w:val="00BF7A64"/>
    <w:rsid w:val="00C1411E"/>
    <w:rsid w:val="00C24168"/>
    <w:rsid w:val="00C2741E"/>
    <w:rsid w:val="00C33D3B"/>
    <w:rsid w:val="00C36B5B"/>
    <w:rsid w:val="00C401BF"/>
    <w:rsid w:val="00C43A99"/>
    <w:rsid w:val="00C4741F"/>
    <w:rsid w:val="00C52C64"/>
    <w:rsid w:val="00C55B20"/>
    <w:rsid w:val="00C57C01"/>
    <w:rsid w:val="00C65B19"/>
    <w:rsid w:val="00C67C0F"/>
    <w:rsid w:val="00C84BD9"/>
    <w:rsid w:val="00C866DE"/>
    <w:rsid w:val="00C902CE"/>
    <w:rsid w:val="00C91F1A"/>
    <w:rsid w:val="00C93CA2"/>
    <w:rsid w:val="00CA50FE"/>
    <w:rsid w:val="00CB6AE1"/>
    <w:rsid w:val="00CC53A0"/>
    <w:rsid w:val="00CD1DA2"/>
    <w:rsid w:val="00CD515B"/>
    <w:rsid w:val="00CE62C8"/>
    <w:rsid w:val="00CF0AE6"/>
    <w:rsid w:val="00CF39EA"/>
    <w:rsid w:val="00D01F98"/>
    <w:rsid w:val="00D03F6E"/>
    <w:rsid w:val="00D0787C"/>
    <w:rsid w:val="00D120E0"/>
    <w:rsid w:val="00D24B09"/>
    <w:rsid w:val="00D457E4"/>
    <w:rsid w:val="00D63827"/>
    <w:rsid w:val="00D66AAC"/>
    <w:rsid w:val="00D7432D"/>
    <w:rsid w:val="00DB78F9"/>
    <w:rsid w:val="00DB7DE1"/>
    <w:rsid w:val="00DC06EC"/>
    <w:rsid w:val="00DC6EA5"/>
    <w:rsid w:val="00DD7333"/>
    <w:rsid w:val="00DE15BC"/>
    <w:rsid w:val="00DF3147"/>
    <w:rsid w:val="00DF5D18"/>
    <w:rsid w:val="00E0087C"/>
    <w:rsid w:val="00E00E9A"/>
    <w:rsid w:val="00E10FC4"/>
    <w:rsid w:val="00E2142C"/>
    <w:rsid w:val="00E230CF"/>
    <w:rsid w:val="00E271F1"/>
    <w:rsid w:val="00E366BB"/>
    <w:rsid w:val="00E50F4E"/>
    <w:rsid w:val="00E53F8E"/>
    <w:rsid w:val="00E627C4"/>
    <w:rsid w:val="00E717BB"/>
    <w:rsid w:val="00E7604F"/>
    <w:rsid w:val="00E825FE"/>
    <w:rsid w:val="00E85EC1"/>
    <w:rsid w:val="00EA12DB"/>
    <w:rsid w:val="00EA648C"/>
    <w:rsid w:val="00EB1DCD"/>
    <w:rsid w:val="00EC3FA1"/>
    <w:rsid w:val="00EC7F85"/>
    <w:rsid w:val="00EE0A51"/>
    <w:rsid w:val="00F01ED4"/>
    <w:rsid w:val="00F15A90"/>
    <w:rsid w:val="00F2705F"/>
    <w:rsid w:val="00F36394"/>
    <w:rsid w:val="00F434BE"/>
    <w:rsid w:val="00F454E0"/>
    <w:rsid w:val="00F50C16"/>
    <w:rsid w:val="00F54C78"/>
    <w:rsid w:val="00F577FC"/>
    <w:rsid w:val="00F61CB6"/>
    <w:rsid w:val="00F7357E"/>
    <w:rsid w:val="00F7607E"/>
    <w:rsid w:val="00F83B95"/>
    <w:rsid w:val="00F90283"/>
    <w:rsid w:val="00F942A0"/>
    <w:rsid w:val="00FA65D8"/>
    <w:rsid w:val="00FA7DAE"/>
    <w:rsid w:val="00FB0034"/>
    <w:rsid w:val="00FB3135"/>
    <w:rsid w:val="00FB7401"/>
    <w:rsid w:val="00FC1FCD"/>
    <w:rsid w:val="00FC2D07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254F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sipos-goor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220A-9A09-42D4-8CC2-D249B983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35</Pages>
  <Words>6178</Words>
  <Characters>42632</Characters>
  <Application>Microsoft Office Word</Application>
  <DocSecurity>0</DocSecurity>
  <Lines>355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Sipos-Goór Georgina</cp:lastModifiedBy>
  <cp:revision>58</cp:revision>
  <cp:lastPrinted>2018-01-15T11:43:00Z</cp:lastPrinted>
  <dcterms:created xsi:type="dcterms:W3CDTF">2017-09-08T07:16:00Z</dcterms:created>
  <dcterms:modified xsi:type="dcterms:W3CDTF">2018-01-15T11:55:00Z</dcterms:modified>
</cp:coreProperties>
</file>